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5B13ED35" w:rsidR="00601663" w:rsidRPr="00B100DD" w:rsidRDefault="00393991" w:rsidP="00B100DD">
      <w:pPr>
        <w:spacing w:after="233"/>
        <w:ind w:right="93"/>
        <w:jc w:val="center"/>
        <w:rPr>
          <w:rFonts w:cs="B Nazanin"/>
          <w:sz w:val="27"/>
          <w:szCs w:val="27"/>
        </w:rPr>
      </w:pPr>
      <w:r w:rsidRPr="00B100DD">
        <w:rPr>
          <w:rFonts w:ascii="Nazanin" w:eastAsia="Nazanin" w:hAnsi="Nazanin" w:cs="B Nazanin"/>
          <w:b/>
          <w:bCs/>
          <w:sz w:val="27"/>
          <w:szCs w:val="27"/>
          <w:rtl/>
        </w:rPr>
        <w:t xml:space="preserve">توافقنامه سطح خدمت </w:t>
      </w:r>
      <w:r w:rsidRPr="00B100DD">
        <w:rPr>
          <w:rFonts w:ascii="Times New Roman" w:eastAsia="Times New Roman" w:hAnsi="Times New Roman" w:cs="B Nazanin"/>
          <w:b/>
          <w:bCs/>
          <w:sz w:val="27"/>
          <w:szCs w:val="27"/>
          <w:rtl/>
        </w:rPr>
        <w:t>"</w:t>
      </w:r>
      <w:r w:rsidR="00B100DD" w:rsidRPr="00B100DD">
        <w:rPr>
          <w:rFonts w:ascii="Nazanin" w:eastAsia="Nazanin" w:hAnsi="Nazanin" w:cs="B Nazanin"/>
          <w:b/>
          <w:bCs/>
          <w:sz w:val="27"/>
          <w:szCs w:val="27"/>
          <w:rtl/>
        </w:rPr>
        <w:t xml:space="preserve"> درخواست بررس</w:t>
      </w:r>
      <w:r w:rsidR="00B100DD" w:rsidRPr="00B100DD">
        <w:rPr>
          <w:rFonts w:ascii="Nazanin" w:eastAsia="Nazanin" w:hAnsi="Nazanin" w:cs="B Nazanin" w:hint="cs"/>
          <w:b/>
          <w:bCs/>
          <w:sz w:val="27"/>
          <w:szCs w:val="27"/>
          <w:rtl/>
        </w:rPr>
        <w:t>ی</w:t>
      </w:r>
      <w:r w:rsidR="00B100DD" w:rsidRPr="00B100DD">
        <w:rPr>
          <w:rFonts w:ascii="Nazanin" w:eastAsia="Nazanin" w:hAnsi="Nazanin" w:cs="B Nazanin"/>
          <w:b/>
          <w:bCs/>
          <w:sz w:val="27"/>
          <w:szCs w:val="27"/>
          <w:rtl/>
        </w:rPr>
        <w:t xml:space="preserve"> صورت حساب مشترک</w:t>
      </w:r>
      <w:r w:rsidR="00B100DD" w:rsidRPr="00B100DD">
        <w:rPr>
          <w:rFonts w:ascii="Nazanin" w:eastAsia="Nazanin" w:hAnsi="Nazanin" w:cs="B Nazanin" w:hint="cs"/>
          <w:b/>
          <w:bCs/>
          <w:sz w:val="27"/>
          <w:szCs w:val="27"/>
          <w:rtl/>
        </w:rPr>
        <w:t>ی</w:t>
      </w:r>
      <w:r w:rsidR="00B100DD" w:rsidRPr="00B100DD">
        <w:rPr>
          <w:rFonts w:ascii="Nazanin" w:eastAsia="Nazanin" w:hAnsi="Nazanin" w:cs="B Nazanin" w:hint="eastAsia"/>
          <w:b/>
          <w:bCs/>
          <w:sz w:val="27"/>
          <w:szCs w:val="27"/>
          <w:rtl/>
        </w:rPr>
        <w:t>ن</w:t>
      </w:r>
      <w:r w:rsidR="00B100DD" w:rsidRPr="00B100DD">
        <w:rPr>
          <w:rFonts w:ascii="Nazanin" w:eastAsia="Nazanin" w:hAnsi="Nazanin" w:cs="B Nazanin"/>
          <w:b/>
          <w:bCs/>
          <w:sz w:val="27"/>
          <w:szCs w:val="27"/>
          <w:rtl/>
        </w:rPr>
        <w:t xml:space="preserve"> شرکت ها</w:t>
      </w:r>
      <w:r w:rsidR="00B100DD" w:rsidRPr="00B100DD">
        <w:rPr>
          <w:rFonts w:ascii="Nazanin" w:eastAsia="Nazanin" w:hAnsi="Nazanin" w:cs="B Nazanin" w:hint="cs"/>
          <w:b/>
          <w:bCs/>
          <w:sz w:val="27"/>
          <w:szCs w:val="27"/>
          <w:rtl/>
        </w:rPr>
        <w:t>ی</w:t>
      </w:r>
      <w:r w:rsidR="00B100DD" w:rsidRPr="00B100DD">
        <w:rPr>
          <w:rFonts w:ascii="Nazanin" w:eastAsia="Nazanin" w:hAnsi="Nazanin" w:cs="B Nazanin"/>
          <w:b/>
          <w:bCs/>
          <w:sz w:val="27"/>
          <w:szCs w:val="27"/>
          <w:rtl/>
        </w:rPr>
        <w:t xml:space="preserve"> برق منطقه ا</w:t>
      </w:r>
      <w:r w:rsidR="00B100DD" w:rsidRPr="00B100DD">
        <w:rPr>
          <w:rFonts w:ascii="Nazanin" w:eastAsia="Nazanin" w:hAnsi="Nazanin" w:cs="B Nazanin" w:hint="cs"/>
          <w:b/>
          <w:bCs/>
          <w:sz w:val="27"/>
          <w:szCs w:val="27"/>
          <w:rtl/>
        </w:rPr>
        <w:t>ی</w:t>
      </w:r>
      <w:r w:rsidRPr="00B100DD">
        <w:rPr>
          <w:rFonts w:ascii="Times New Roman" w:eastAsia="Times New Roman" w:hAnsi="Times New Roman" w:cs="B Nazanin"/>
          <w:b/>
          <w:bCs/>
          <w:sz w:val="27"/>
          <w:szCs w:val="27"/>
          <w:rtl/>
        </w:rPr>
        <w:t>"</w:t>
      </w:r>
      <w:r w:rsidRPr="00B100DD">
        <w:rPr>
          <w:rFonts w:ascii="Nazanin" w:eastAsia="Nazanin" w:hAnsi="Nazanin" w:cs="B Nazanin"/>
          <w:b/>
          <w:bCs/>
          <w:sz w:val="27"/>
          <w:szCs w:val="27"/>
          <w:rtl/>
        </w:rPr>
        <w:t xml:space="preserve"> </w:t>
      </w:r>
    </w:p>
    <w:p w14:paraId="06E250AE" w14:textId="77777777" w:rsidR="00601663" w:rsidRPr="0069499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69499C">
        <w:rPr>
          <w:rFonts w:cs="B Nazanin"/>
          <w:b/>
          <w:bCs/>
          <w:sz w:val="28"/>
          <w:szCs w:val="28"/>
          <w:rtl/>
        </w:rPr>
        <w:t xml:space="preserve"> </w:t>
      </w:r>
    </w:p>
    <w:p w14:paraId="333DD471" w14:textId="0A5493AE" w:rsidR="00601663" w:rsidRPr="0069499C" w:rsidRDefault="0069499C" w:rsidP="0069499C">
      <w:pPr>
        <w:spacing w:after="4" w:line="271" w:lineRule="auto"/>
        <w:ind w:left="266" w:right="-15" w:hanging="9"/>
        <w:jc w:val="lowKashida"/>
        <w:rPr>
          <w:rFonts w:ascii="Nazanin" w:eastAsia="Nazanin" w:hAnsi="Nazanin" w:cs="B Nazanin"/>
          <w:sz w:val="28"/>
          <w:szCs w:val="28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>مشترکین می‌توانند به منظور بررسی صورت‌حساب، درخواست خود را به صورت غیرحضوری ثبت نمایند تا موارد جهت صحیح یا غلط بودن صورتحساب</w:t>
      </w:r>
      <w:bookmarkStart w:id="0" w:name="_GoBack"/>
      <w:bookmarkEnd w:id="0"/>
      <w:r w:rsidRPr="0069499C">
        <w:rPr>
          <w:rFonts w:ascii="Nazanin" w:eastAsia="Nazanin" w:hAnsi="Nazanin" w:cs="B Nazanin"/>
          <w:sz w:val="28"/>
          <w:szCs w:val="28"/>
          <w:rtl/>
        </w:rPr>
        <w:t xml:space="preserve"> صادره بررسی گردد و در صورت وارد بودن درخواست، قبض اصلاح گردد</w:t>
      </w:r>
      <w:r w:rsidRPr="0069499C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08FC6148" w:rsidR="00601663" w:rsidRPr="0069499C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69499C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69499C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69499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69499C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732C8245" w:rsidR="00601663" w:rsidRPr="0069499C" w:rsidRDefault="00393991" w:rsidP="0069499C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69499C" w:rsidRPr="0069499C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</w:rPr>
          <w:t xml:space="preserve"> </w:t>
        </w:r>
        <w:r w:rsidR="0069499C" w:rsidRPr="0069499C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درخواست بررسی صورت حساب مشترکین شرکت های برق منطقه ای</w:t>
        </w:r>
      </w:hyperlink>
      <w:r w:rsidRPr="0069499C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69499C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69499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69499C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پنجم،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ششم،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نقشه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راه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توسعه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دولت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69499C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69499C">
        <w:rPr>
          <w:rFonts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69499C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69499C">
        <w:rPr>
          <w:rFonts w:ascii="Nazanin" w:eastAsia="Nazanin" w:hAnsi="Nazanin" w:cs="B Nazanin"/>
          <w:sz w:val="28"/>
          <w:szCs w:val="28"/>
          <w:rtl/>
        </w:rPr>
        <w:t>د.</w:t>
      </w:r>
      <w:r w:rsidRPr="0069499C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69499C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69499C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69499C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69499C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69499C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69499C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69499C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69499C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69499C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69499C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69499C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69499C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69499C" w:rsidRDefault="00393991">
      <w:pPr>
        <w:bidi w:val="0"/>
        <w:spacing w:after="43"/>
        <w:rPr>
          <w:rFonts w:cs="B Nazanin"/>
          <w:sz w:val="24"/>
          <w:szCs w:val="24"/>
        </w:rPr>
      </w:pPr>
      <w:r w:rsidRPr="0069499C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69499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69499C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69499C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69499C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69499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69499C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69499C">
        <w:rPr>
          <w:rFonts w:cs="B Nazanin"/>
          <w:sz w:val="28"/>
          <w:szCs w:val="28"/>
          <w:rtl/>
        </w:rPr>
        <w:t xml:space="preserve"> </w:t>
      </w:r>
    </w:p>
    <w:p w14:paraId="1D545E19" w14:textId="57B8B546" w:rsidR="00601663" w:rsidRPr="0069499C" w:rsidRDefault="00393991" w:rsidP="0069499C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در صورتیکه پس از </w:t>
      </w:r>
      <w:r w:rsidR="00E2657B" w:rsidRPr="0069499C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69499C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69499C" w:rsidRPr="0069499C">
        <w:rPr>
          <w:rFonts w:ascii="Nazanin" w:eastAsia="Nazanin" w:hAnsi="Nazanin" w:cs="B Nazanin" w:hint="cs"/>
          <w:b/>
          <w:bCs/>
          <w:sz w:val="28"/>
          <w:szCs w:val="28"/>
          <w:rtl/>
        </w:rPr>
        <w:t>پنج</w:t>
      </w: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غرامتی معادل 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69499C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69499C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69499C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69499C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69499C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69499C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69499C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69499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69499C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69499C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69499C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69499C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69499C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69499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69499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69499C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69499C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69499C">
        <w:rPr>
          <w:rFonts w:ascii="Nazanin" w:eastAsia="Nazanin" w:hAnsi="Nazanin" w:cs="B Nazanin"/>
          <w:sz w:val="28"/>
          <w:szCs w:val="28"/>
          <w:rtl/>
        </w:rPr>
        <w:softHyphen/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69499C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69499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69499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69499C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69499C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69499C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69499C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69499C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69499C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69499C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69499C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69499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69499C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69499C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69499C"/>
    <w:rsid w:val="00A06E1B"/>
    <w:rsid w:val="00B100DD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4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1n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2020-04-07T05:39:00Z</dcterms:modified>
</cp:coreProperties>
</file>